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庄河市202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/>
          <w:sz w:val="44"/>
          <w:szCs w:val="44"/>
        </w:rPr>
        <w:t>月份预算执行情况</w:t>
      </w:r>
    </w:p>
    <w:p>
      <w:pPr>
        <w:spacing w:after="0" w:line="64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40" w:lineRule="exact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一、基本情况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（一）一般公共预算收支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1、一般公共预算收入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240,969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11.5</w:t>
      </w:r>
      <w:r>
        <w:rPr>
          <w:rFonts w:hint="eastAsia" w:ascii="仿宋_GB2312" w:eastAsia="仿宋_GB2312"/>
          <w:b/>
          <w:sz w:val="36"/>
          <w:szCs w:val="36"/>
        </w:rPr>
        <w:t>%，其中：税收收入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112,750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49.7</w:t>
      </w:r>
      <w:r>
        <w:rPr>
          <w:rFonts w:hint="eastAsia" w:ascii="仿宋_GB2312" w:eastAsia="仿宋_GB2312"/>
          <w:b/>
          <w:sz w:val="36"/>
          <w:szCs w:val="36"/>
        </w:rPr>
        <w:t>%，非税收入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128,219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%，分别占财政收入的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46.8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%和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53.2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146,619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6.9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94,350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60.9%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分征收部门看，税务部门组织的收入为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120,126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50.9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%；财政部门等组织的收入为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120,843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11.5%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2、一般公共预算支出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191,395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3.8</w:t>
      </w:r>
      <w:r>
        <w:rPr>
          <w:rFonts w:hint="eastAsia" w:ascii="仿宋_GB2312" w:eastAsia="仿宋_GB2312"/>
          <w:b/>
          <w:sz w:val="36"/>
          <w:szCs w:val="36"/>
        </w:rPr>
        <w:t>%。</w:t>
      </w:r>
      <w:bookmarkStart w:id="0" w:name="_GoBack"/>
      <w:bookmarkEnd w:id="0"/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0000FF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120,077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22.5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71,318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61.8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从重点科目情况看，教育支出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25,839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15.1</w:t>
      </w:r>
      <w:r>
        <w:rPr>
          <w:rFonts w:hint="eastAsia" w:ascii="仿宋_GB2312" w:eastAsia="仿宋_GB2312"/>
          <w:b/>
          <w:sz w:val="36"/>
          <w:szCs w:val="36"/>
        </w:rPr>
        <w:t>%；社会保障和就业支出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42,310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22.4</w:t>
      </w:r>
      <w:r>
        <w:rPr>
          <w:rFonts w:hint="eastAsia" w:ascii="仿宋_GB2312" w:eastAsia="仿宋_GB2312"/>
          <w:b/>
          <w:sz w:val="36"/>
          <w:szCs w:val="36"/>
        </w:rPr>
        <w:t>%；卫生健康支出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14,341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22.5</w:t>
      </w:r>
      <w:r>
        <w:rPr>
          <w:rFonts w:hint="eastAsia" w:ascii="仿宋_GB2312" w:eastAsia="仿宋_GB2312"/>
          <w:b/>
          <w:sz w:val="36"/>
          <w:szCs w:val="36"/>
        </w:rPr>
        <w:t>%；城乡社区支出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8,904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39</w:t>
      </w:r>
      <w:r>
        <w:rPr>
          <w:rFonts w:hint="eastAsia" w:ascii="仿宋_GB2312" w:eastAsia="仿宋_GB2312"/>
          <w:b/>
          <w:sz w:val="36"/>
          <w:szCs w:val="36"/>
        </w:rPr>
        <w:t>%，农林水支出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12,829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49.2</w:t>
      </w:r>
      <w:r>
        <w:rPr>
          <w:rFonts w:hint="eastAsia" w:ascii="仿宋_GB2312" w:eastAsia="仿宋_GB2312"/>
          <w:b/>
          <w:sz w:val="36"/>
          <w:szCs w:val="36"/>
        </w:rPr>
        <w:t>%；住房保障支出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9,265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16.6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（二）政府性基金收支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1、政府性基金收入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/>
          <w:b/>
          <w:sz w:val="36"/>
          <w:szCs w:val="36"/>
        </w:rPr>
        <w:t>月份，全市政府性基金收入完成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1,477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77.1</w:t>
      </w:r>
      <w:r>
        <w:rPr>
          <w:rFonts w:hint="eastAsia" w:ascii="仿宋_GB2312" w:eastAsia="仿宋_GB2312"/>
          <w:b/>
          <w:sz w:val="36"/>
          <w:szCs w:val="36"/>
        </w:rPr>
        <w:t>%。其中：国有土地使用权出让收入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620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82.2%</w:t>
      </w:r>
      <w:r>
        <w:rPr>
          <w:rFonts w:hint="eastAsia" w:ascii="仿宋_GB2312" w:eastAsia="仿宋_GB2312"/>
          <w:b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2、政府性基金支出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/>
          <w:b/>
          <w:sz w:val="36"/>
          <w:szCs w:val="36"/>
        </w:rPr>
        <w:t>月份，全市政府性基金支出完成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9,413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14.5%</w:t>
      </w:r>
      <w:r>
        <w:rPr>
          <w:rFonts w:hint="eastAsia" w:ascii="仿宋_GB2312" w:eastAsia="仿宋_GB2312"/>
          <w:b/>
          <w:sz w:val="36"/>
          <w:szCs w:val="36"/>
        </w:rPr>
        <w:t>。其中：国有土地使用权出让收入及对应债务收入安排的支出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164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94.1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  <w:highlight w:val="none"/>
        </w:rPr>
        <w:t>（三）与全大连市，瓦、普两市收入比较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月份，大连市一般公共预算收入完成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292.41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%，我市收入占全市收入的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8.2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瓦房店收入完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9.39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亿元，比我市少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14.62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65.1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%；普兰店收入完成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17.42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亿元，别比我市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6.67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24.5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二、预算执行的主要特点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（一）财政收入恢复性增长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经济逐步恢复，在有效落实各项</w:t>
      </w:r>
      <w:r>
        <w:rPr>
          <w:rFonts w:hint="eastAsia" w:ascii="仿宋_GB2312" w:eastAsia="仿宋_GB2312"/>
          <w:b/>
          <w:sz w:val="36"/>
          <w:szCs w:val="36"/>
        </w:rPr>
        <w:t>减税降费政策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的基础上，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/>
          <w:b/>
          <w:sz w:val="36"/>
          <w:szCs w:val="36"/>
        </w:rPr>
        <w:t>月份，我市一般公共预算收入完成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24.09</w:t>
      </w:r>
      <w:r>
        <w:rPr>
          <w:rFonts w:hint="eastAsia" w:ascii="仿宋_GB2312" w:eastAsia="仿宋_GB2312"/>
          <w:b/>
          <w:sz w:val="36"/>
          <w:szCs w:val="36"/>
        </w:rPr>
        <w:t>亿元，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11.5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分级次看,市本级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6.9</w:t>
      </w:r>
      <w:r>
        <w:rPr>
          <w:rFonts w:hint="eastAsia" w:ascii="仿宋_GB2312" w:eastAsia="仿宋_GB2312"/>
          <w:b/>
          <w:sz w:val="36"/>
          <w:szCs w:val="36"/>
        </w:rPr>
        <w:t>%,乡镇级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60.9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乡镇间也不平衡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</w:rPr>
        <w:t>个乡镇（街道、经济区）中，正增长的有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21</w:t>
      </w:r>
      <w:r>
        <w:rPr>
          <w:rFonts w:hint="eastAsia" w:ascii="仿宋_GB2312" w:eastAsia="仿宋_GB2312"/>
          <w:b/>
          <w:sz w:val="36"/>
          <w:szCs w:val="36"/>
        </w:rPr>
        <w:t>家，负增长的有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/>
          <w:sz w:val="36"/>
          <w:szCs w:val="36"/>
        </w:rPr>
        <w:t>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光明山</w:t>
      </w:r>
      <w:r>
        <w:rPr>
          <w:rFonts w:hint="eastAsia" w:ascii="仿宋_GB2312" w:eastAsia="仿宋_GB2312"/>
          <w:b/>
          <w:sz w:val="36"/>
          <w:szCs w:val="36"/>
        </w:rPr>
        <w:t>增幅最大,高达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781.3%</w:t>
      </w:r>
      <w:r>
        <w:rPr>
          <w:rFonts w:hint="eastAsia" w:ascii="仿宋_GB2312" w:eastAsia="仿宋_GB2312"/>
          <w:b/>
          <w:sz w:val="36"/>
          <w:szCs w:val="36"/>
        </w:rPr>
        <w:t>。</w:t>
      </w:r>
    </w:p>
    <w:p>
      <w:pPr>
        <w:numPr>
          <w:ilvl w:val="0"/>
          <w:numId w:val="0"/>
        </w:numPr>
        <w:spacing w:after="0" w:line="640" w:lineRule="exact"/>
        <w:ind w:firstLine="723" w:firstLineChars="20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（二）重点支出保障有力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年，我市财政部门狠抓预算执行，积极调度资金，加快支出进度，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严格落实“三保”政策，</w:t>
      </w:r>
      <w:r>
        <w:rPr>
          <w:rFonts w:hint="eastAsia" w:ascii="仿宋_GB2312" w:eastAsia="仿宋_GB2312"/>
          <w:b/>
          <w:sz w:val="36"/>
          <w:szCs w:val="36"/>
        </w:rPr>
        <w:t>兑现绩效考核奖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调资增资</w:t>
      </w:r>
      <w:r>
        <w:rPr>
          <w:rFonts w:hint="eastAsia" w:ascii="仿宋_GB2312" w:eastAsia="仿宋_GB2312"/>
          <w:b/>
          <w:sz w:val="36"/>
          <w:szCs w:val="36"/>
        </w:rPr>
        <w:t>；同时保障了工资、运转及基本民生等“三保”支出和防疫支出，确保国家各项民生政策落实到位。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总的看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4</w:t>
      </w:r>
      <w:r>
        <w:rPr>
          <w:rFonts w:hint="eastAsia" w:ascii="仿宋_GB2312" w:hAnsi="黑体" w:eastAsia="仿宋_GB2312"/>
          <w:b/>
          <w:sz w:val="36"/>
          <w:szCs w:val="36"/>
        </w:rPr>
        <w:t>月份，预算执行情况良好，但展望全年，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受疫情等诸多不确定性因素影响，经济形势依然复杂严峻，</w:t>
      </w:r>
      <w:r>
        <w:rPr>
          <w:rFonts w:hint="eastAsia" w:ascii="仿宋_GB2312" w:hAnsi="黑体" w:eastAsia="仿宋_GB2312"/>
          <w:b/>
          <w:sz w:val="36"/>
          <w:szCs w:val="36"/>
        </w:rPr>
        <w:t>我市的预算执行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也</w:t>
      </w:r>
      <w:r>
        <w:rPr>
          <w:rFonts w:hint="eastAsia" w:ascii="仿宋_GB2312" w:hAnsi="黑体" w:eastAsia="仿宋_GB2312"/>
          <w:b/>
          <w:sz w:val="36"/>
          <w:szCs w:val="36"/>
        </w:rPr>
        <w:t>存在较大的风险，要做到保障“三保”等基本支出需求实为不易，</w:t>
      </w:r>
      <w:r>
        <w:rPr>
          <w:rFonts w:hint="eastAsia" w:ascii="仿宋_GB2312" w:eastAsia="仿宋_GB2312"/>
          <w:b/>
          <w:sz w:val="36"/>
          <w:szCs w:val="36"/>
        </w:rPr>
        <w:t>我们应该清醒认识到财政形势，全力做好预算执行：</w:t>
      </w:r>
    </w:p>
    <w:p>
      <w:p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1、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持续抓好</w:t>
      </w:r>
      <w:r>
        <w:rPr>
          <w:rFonts w:hint="eastAsia" w:ascii="楷体" w:hAnsi="楷体" w:eastAsia="楷体"/>
          <w:b/>
          <w:sz w:val="36"/>
          <w:szCs w:val="36"/>
        </w:rPr>
        <w:t>收入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组织管理</w:t>
      </w:r>
      <w:r>
        <w:rPr>
          <w:rFonts w:hint="eastAsia" w:ascii="楷体" w:hAnsi="楷体" w:eastAsia="楷体"/>
          <w:b/>
          <w:sz w:val="36"/>
          <w:szCs w:val="36"/>
        </w:rPr>
        <w:t>，确保完成收入预期</w:t>
      </w:r>
    </w:p>
    <w:p>
      <w:pPr>
        <w:spacing w:after="0" w:line="640" w:lineRule="exact"/>
        <w:ind w:firstLine="723" w:firstLineChars="200"/>
        <w:jc w:val="both"/>
        <w:rPr>
          <w:rFonts w:hint="eastAsia" w:ascii="黑体" w:hAnsi="黑体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在落实好国家减税降费政策的同时，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进一步加强收入监测分析，查找税收征管薄弱环节，挖掘增收潜力，积极培育涵养财源，</w:t>
      </w:r>
      <w:r>
        <w:rPr>
          <w:rFonts w:hint="eastAsia" w:ascii="仿宋_GB2312" w:eastAsia="仿宋_GB2312"/>
          <w:b/>
          <w:sz w:val="36"/>
          <w:szCs w:val="36"/>
        </w:rPr>
        <w:t>加强非税收入管理，做到应收尽收，“颗粒归仓”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努力实现全年的收入目标。发展壮大县域经济实力，大力招商引资，提高县级财政自给能力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继续完善县乡财政体制，调动乡镇组织收入的积极性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加强项目投资管理，以推进项目促税收增长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加快推进土地出让进度，确保政府性基金收入达到年初预算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numPr>
          <w:ilvl w:val="0"/>
          <w:numId w:val="0"/>
        </w:num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强化财政预算执行管理</w:t>
      </w:r>
      <w:r>
        <w:rPr>
          <w:rFonts w:hint="eastAsia" w:ascii="楷体" w:hAnsi="楷体" w:eastAsia="楷体"/>
          <w:b/>
          <w:sz w:val="36"/>
          <w:szCs w:val="36"/>
        </w:rPr>
        <w:t>，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确保</w:t>
      </w:r>
      <w:r>
        <w:rPr>
          <w:rFonts w:hint="eastAsia" w:ascii="楷体" w:hAnsi="楷体" w:eastAsia="楷体"/>
          <w:b/>
          <w:sz w:val="36"/>
          <w:szCs w:val="36"/>
        </w:rPr>
        <w:t>支出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重点方向</w:t>
      </w:r>
    </w:p>
    <w:p>
      <w:pPr>
        <w:spacing w:after="0" w:line="640" w:lineRule="exact"/>
        <w:ind w:firstLine="723" w:firstLineChars="20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树牢过紧日子的思想，进一步加大压减力度，不必要的项目支出坚决取消，新增项目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从严控制，原则上不开新的支出口子，把更多的宝贵资源腾出来，保障好民生等重点领域支出。刚化硬化</w:t>
      </w:r>
      <w:r>
        <w:rPr>
          <w:rFonts w:hint="eastAsia" w:ascii="仿宋_GB2312" w:eastAsia="仿宋_GB2312"/>
          <w:b/>
          <w:sz w:val="36"/>
          <w:szCs w:val="36"/>
        </w:rPr>
        <w:t>预算约束，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年度预算执行中，除特殊情况外一律不再追加部门预算。加强数字财政建设，完成预算管理一体化系统部署运用，扎实开展</w:t>
      </w:r>
      <w:r>
        <w:rPr>
          <w:rFonts w:hint="eastAsia" w:ascii="仿宋_GB2312" w:eastAsia="仿宋_GB2312"/>
          <w:b/>
          <w:sz w:val="36"/>
          <w:szCs w:val="36"/>
        </w:rPr>
        <w:t>没有预算、上级专项转移支付等支出指标的支出项目一律不予追加；加快支出执行进度，及时批复下达预算资金，发挥财政资金使用效益；健全财政支出决策机制，加大重大项目财政可承受能力评估，做到量力而行；全面实施预算绩效管理，探索建立绩效评价和预算政策衔接机制，推进财政资金提质增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284B"/>
    <w:rsid w:val="000D0FAF"/>
    <w:rsid w:val="00271353"/>
    <w:rsid w:val="00291DF0"/>
    <w:rsid w:val="00311F45"/>
    <w:rsid w:val="00323B43"/>
    <w:rsid w:val="0034707A"/>
    <w:rsid w:val="003D37D8"/>
    <w:rsid w:val="003E1AB8"/>
    <w:rsid w:val="00426133"/>
    <w:rsid w:val="004358AB"/>
    <w:rsid w:val="0045677D"/>
    <w:rsid w:val="004A2B75"/>
    <w:rsid w:val="004B0C70"/>
    <w:rsid w:val="004E3821"/>
    <w:rsid w:val="004E4CCF"/>
    <w:rsid w:val="004E6C89"/>
    <w:rsid w:val="00557150"/>
    <w:rsid w:val="00597FFF"/>
    <w:rsid w:val="005E6B1E"/>
    <w:rsid w:val="0069030C"/>
    <w:rsid w:val="0078316D"/>
    <w:rsid w:val="00893FEB"/>
    <w:rsid w:val="008A4B17"/>
    <w:rsid w:val="008B7726"/>
    <w:rsid w:val="00957B00"/>
    <w:rsid w:val="00A52FAD"/>
    <w:rsid w:val="00A557D5"/>
    <w:rsid w:val="00A664E5"/>
    <w:rsid w:val="00AE668B"/>
    <w:rsid w:val="00B74291"/>
    <w:rsid w:val="00BC15A5"/>
    <w:rsid w:val="00BD1A18"/>
    <w:rsid w:val="00BD3740"/>
    <w:rsid w:val="00C059D6"/>
    <w:rsid w:val="00C40B01"/>
    <w:rsid w:val="00C527F5"/>
    <w:rsid w:val="00C773B5"/>
    <w:rsid w:val="00CF71C7"/>
    <w:rsid w:val="00D31D50"/>
    <w:rsid w:val="00D638C6"/>
    <w:rsid w:val="00DA758D"/>
    <w:rsid w:val="00E27D74"/>
    <w:rsid w:val="00E84DA5"/>
    <w:rsid w:val="00F4136D"/>
    <w:rsid w:val="00FA0E75"/>
    <w:rsid w:val="00FE55E2"/>
    <w:rsid w:val="015D48F1"/>
    <w:rsid w:val="01741444"/>
    <w:rsid w:val="02251197"/>
    <w:rsid w:val="03006084"/>
    <w:rsid w:val="03142A7D"/>
    <w:rsid w:val="03625AA7"/>
    <w:rsid w:val="04670EB7"/>
    <w:rsid w:val="04925B2B"/>
    <w:rsid w:val="051C7BFF"/>
    <w:rsid w:val="05691DB1"/>
    <w:rsid w:val="056B7BEF"/>
    <w:rsid w:val="068B6519"/>
    <w:rsid w:val="07140051"/>
    <w:rsid w:val="07734EEF"/>
    <w:rsid w:val="07915D97"/>
    <w:rsid w:val="080B7624"/>
    <w:rsid w:val="085951B4"/>
    <w:rsid w:val="08AC48F1"/>
    <w:rsid w:val="09862CFE"/>
    <w:rsid w:val="09E21209"/>
    <w:rsid w:val="09FE07D4"/>
    <w:rsid w:val="0AF72A27"/>
    <w:rsid w:val="0AFF29D2"/>
    <w:rsid w:val="0B7D78D4"/>
    <w:rsid w:val="0BA46731"/>
    <w:rsid w:val="0CC413EA"/>
    <w:rsid w:val="0CF4201F"/>
    <w:rsid w:val="0D2B519E"/>
    <w:rsid w:val="0D644031"/>
    <w:rsid w:val="0D7F153B"/>
    <w:rsid w:val="0E1B4BD9"/>
    <w:rsid w:val="0EDE0FCB"/>
    <w:rsid w:val="0F261593"/>
    <w:rsid w:val="0FA676BA"/>
    <w:rsid w:val="0FF77241"/>
    <w:rsid w:val="10FA5C0A"/>
    <w:rsid w:val="128D48F6"/>
    <w:rsid w:val="13C150EA"/>
    <w:rsid w:val="13EB4111"/>
    <w:rsid w:val="142077BD"/>
    <w:rsid w:val="148B7866"/>
    <w:rsid w:val="14FE7041"/>
    <w:rsid w:val="158259F9"/>
    <w:rsid w:val="16C11BD0"/>
    <w:rsid w:val="17A823C2"/>
    <w:rsid w:val="17EE5F0E"/>
    <w:rsid w:val="180A4550"/>
    <w:rsid w:val="181307EA"/>
    <w:rsid w:val="18C02A9A"/>
    <w:rsid w:val="18E13C50"/>
    <w:rsid w:val="19CD6650"/>
    <w:rsid w:val="1BE75C63"/>
    <w:rsid w:val="1DCD6F39"/>
    <w:rsid w:val="1E417F3F"/>
    <w:rsid w:val="1E5C31A8"/>
    <w:rsid w:val="1ECB2D8C"/>
    <w:rsid w:val="1EF27C9E"/>
    <w:rsid w:val="1F247902"/>
    <w:rsid w:val="1F2B5073"/>
    <w:rsid w:val="1F2C5901"/>
    <w:rsid w:val="1F6F318D"/>
    <w:rsid w:val="20B90BC0"/>
    <w:rsid w:val="20F102B1"/>
    <w:rsid w:val="22395DB9"/>
    <w:rsid w:val="239B10E8"/>
    <w:rsid w:val="24C11AF9"/>
    <w:rsid w:val="2527658B"/>
    <w:rsid w:val="2533231F"/>
    <w:rsid w:val="259E55DA"/>
    <w:rsid w:val="26233BF3"/>
    <w:rsid w:val="26422E9B"/>
    <w:rsid w:val="275A586B"/>
    <w:rsid w:val="27DE47DC"/>
    <w:rsid w:val="27E30511"/>
    <w:rsid w:val="27EC49F4"/>
    <w:rsid w:val="27EC5690"/>
    <w:rsid w:val="27F0028F"/>
    <w:rsid w:val="28A175B5"/>
    <w:rsid w:val="28D14B7F"/>
    <w:rsid w:val="2AC31721"/>
    <w:rsid w:val="2B1D4753"/>
    <w:rsid w:val="2BA94C06"/>
    <w:rsid w:val="2BC47E1F"/>
    <w:rsid w:val="2C510EEF"/>
    <w:rsid w:val="2D403268"/>
    <w:rsid w:val="2F402462"/>
    <w:rsid w:val="300C4317"/>
    <w:rsid w:val="305A5667"/>
    <w:rsid w:val="30B22A90"/>
    <w:rsid w:val="31633BE2"/>
    <w:rsid w:val="32B04FBB"/>
    <w:rsid w:val="33491FF4"/>
    <w:rsid w:val="336C0428"/>
    <w:rsid w:val="33D621DC"/>
    <w:rsid w:val="35146BF1"/>
    <w:rsid w:val="35A721D1"/>
    <w:rsid w:val="36111AD2"/>
    <w:rsid w:val="36A34DFF"/>
    <w:rsid w:val="36BD1898"/>
    <w:rsid w:val="37087251"/>
    <w:rsid w:val="37B81440"/>
    <w:rsid w:val="38286637"/>
    <w:rsid w:val="389E0DEE"/>
    <w:rsid w:val="3A485E61"/>
    <w:rsid w:val="3CC065F2"/>
    <w:rsid w:val="3D3A69A7"/>
    <w:rsid w:val="3DC879E7"/>
    <w:rsid w:val="3DD5290A"/>
    <w:rsid w:val="3DDE04D0"/>
    <w:rsid w:val="3DE00213"/>
    <w:rsid w:val="41D45D95"/>
    <w:rsid w:val="41ED1706"/>
    <w:rsid w:val="42024426"/>
    <w:rsid w:val="431B2D11"/>
    <w:rsid w:val="435D5D0C"/>
    <w:rsid w:val="44EA6347"/>
    <w:rsid w:val="45682669"/>
    <w:rsid w:val="457971D0"/>
    <w:rsid w:val="45865DF5"/>
    <w:rsid w:val="4591790F"/>
    <w:rsid w:val="45E645DC"/>
    <w:rsid w:val="475C2E80"/>
    <w:rsid w:val="476B7797"/>
    <w:rsid w:val="485531C7"/>
    <w:rsid w:val="48933074"/>
    <w:rsid w:val="48D56712"/>
    <w:rsid w:val="48E46967"/>
    <w:rsid w:val="48ED5BA7"/>
    <w:rsid w:val="49744CFA"/>
    <w:rsid w:val="49FD6111"/>
    <w:rsid w:val="4B33079A"/>
    <w:rsid w:val="4B760942"/>
    <w:rsid w:val="4B9C3531"/>
    <w:rsid w:val="4C330453"/>
    <w:rsid w:val="4C775C27"/>
    <w:rsid w:val="4C9B72C7"/>
    <w:rsid w:val="4D1B5328"/>
    <w:rsid w:val="4DB25073"/>
    <w:rsid w:val="4E7E0A8C"/>
    <w:rsid w:val="4F365789"/>
    <w:rsid w:val="516D07BC"/>
    <w:rsid w:val="517F4BCA"/>
    <w:rsid w:val="520012D6"/>
    <w:rsid w:val="52C465E8"/>
    <w:rsid w:val="53475A87"/>
    <w:rsid w:val="54207690"/>
    <w:rsid w:val="543071AA"/>
    <w:rsid w:val="545343DB"/>
    <w:rsid w:val="5462751F"/>
    <w:rsid w:val="55027028"/>
    <w:rsid w:val="56804FE2"/>
    <w:rsid w:val="575816E6"/>
    <w:rsid w:val="575D55AA"/>
    <w:rsid w:val="58457336"/>
    <w:rsid w:val="58566293"/>
    <w:rsid w:val="58962353"/>
    <w:rsid w:val="58B07E3E"/>
    <w:rsid w:val="590703C9"/>
    <w:rsid w:val="59DA18DB"/>
    <w:rsid w:val="59FC097F"/>
    <w:rsid w:val="5A3439AD"/>
    <w:rsid w:val="5A911C68"/>
    <w:rsid w:val="5A9426DE"/>
    <w:rsid w:val="5B0B5F27"/>
    <w:rsid w:val="5B912F46"/>
    <w:rsid w:val="5BA56848"/>
    <w:rsid w:val="5D551B1E"/>
    <w:rsid w:val="5D756F3D"/>
    <w:rsid w:val="5D92152A"/>
    <w:rsid w:val="5FAA59A2"/>
    <w:rsid w:val="602472A4"/>
    <w:rsid w:val="60324209"/>
    <w:rsid w:val="61305999"/>
    <w:rsid w:val="6143657E"/>
    <w:rsid w:val="62FE3DC5"/>
    <w:rsid w:val="645C48F9"/>
    <w:rsid w:val="64E75209"/>
    <w:rsid w:val="64F6429C"/>
    <w:rsid w:val="652A79EC"/>
    <w:rsid w:val="657330D6"/>
    <w:rsid w:val="66BC51D2"/>
    <w:rsid w:val="675424F9"/>
    <w:rsid w:val="675D15BF"/>
    <w:rsid w:val="6844046F"/>
    <w:rsid w:val="68474D45"/>
    <w:rsid w:val="690E3783"/>
    <w:rsid w:val="693C37D7"/>
    <w:rsid w:val="6A0652FF"/>
    <w:rsid w:val="6A5A7E94"/>
    <w:rsid w:val="6A612016"/>
    <w:rsid w:val="6C94617F"/>
    <w:rsid w:val="6CBB5A42"/>
    <w:rsid w:val="6D063121"/>
    <w:rsid w:val="6D286B9E"/>
    <w:rsid w:val="6D582BBD"/>
    <w:rsid w:val="6D7153E0"/>
    <w:rsid w:val="6E2139D0"/>
    <w:rsid w:val="6F6A20CF"/>
    <w:rsid w:val="6FE01945"/>
    <w:rsid w:val="70011284"/>
    <w:rsid w:val="702A361F"/>
    <w:rsid w:val="70374270"/>
    <w:rsid w:val="70B42FE7"/>
    <w:rsid w:val="711B18DD"/>
    <w:rsid w:val="71847710"/>
    <w:rsid w:val="719C1653"/>
    <w:rsid w:val="71D66517"/>
    <w:rsid w:val="720A4A9E"/>
    <w:rsid w:val="73A11126"/>
    <w:rsid w:val="74BB6074"/>
    <w:rsid w:val="750B00E7"/>
    <w:rsid w:val="754B52BF"/>
    <w:rsid w:val="75A06258"/>
    <w:rsid w:val="75E91FAE"/>
    <w:rsid w:val="75F43985"/>
    <w:rsid w:val="764C0782"/>
    <w:rsid w:val="76FE3237"/>
    <w:rsid w:val="77635DF3"/>
    <w:rsid w:val="779C20A3"/>
    <w:rsid w:val="77E94D39"/>
    <w:rsid w:val="78D2588D"/>
    <w:rsid w:val="78EE71E7"/>
    <w:rsid w:val="792954A9"/>
    <w:rsid w:val="79441A9F"/>
    <w:rsid w:val="7B1E6A49"/>
    <w:rsid w:val="7B6B6A2E"/>
    <w:rsid w:val="7C415E96"/>
    <w:rsid w:val="7D253F0D"/>
    <w:rsid w:val="7D901979"/>
    <w:rsid w:val="7DAD406A"/>
    <w:rsid w:val="7E4D778C"/>
    <w:rsid w:val="7E7A69DE"/>
    <w:rsid w:val="7EB05FAF"/>
    <w:rsid w:val="7EE666C8"/>
    <w:rsid w:val="7FAD5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250</Words>
  <Characters>1431</Characters>
  <Lines>11</Lines>
  <Paragraphs>3</Paragraphs>
  <TotalTime>78</TotalTime>
  <ScaleCrop>false</ScaleCrop>
  <LinksUpToDate>false</LinksUpToDate>
  <CharactersWithSpaces>1678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2023-02-03T06:37:00Z</cp:lastPrinted>
  <dcterms:modified xsi:type="dcterms:W3CDTF">2023-05-06T08:36:55Z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